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tulo"/>
      </w:pPr>
      <w:r>
        <w:t xml:space="preserve">Diretrizes para o Mergulho Científico</w:t>
      </w:r>
    </w:p>
    <w:p>
      <w:pPr>
        <w:pStyle w:val="Subttulo"/>
      </w:pPr>
      <w:r>
        <w:t xml:space="preserve">Diretrizes do Mergulho Científico no âmbito PMB-SC</w:t>
      </w:r>
    </w:p>
    <w:p>
      <w:pPr>
        <w:pStyle w:val="Author"/>
      </w:pPr>
      <w:r>
        <w:t xml:space="preserve">Supervisor de Pesquisa SC</w:t>
      </w:r>
    </w:p>
    <w:p>
      <w:pPr>
        <w:pStyle w:val="Data"/>
      </w:pPr>
      <w:r>
        <w:t xml:space="preserve">2026-05-01</w:t>
      </w:r>
    </w:p>
    <w:p>
      <w:pPr>
        <w:pStyle w:val="AbstractTitle"/>
      </w:pPr>
      <w:r>
        <w:t xml:space="preserve">About</w:t>
      </w:r>
    </w:p>
    <w:p>
      <w:pPr>
        <w:pStyle w:val="Abstract"/>
      </w:pPr>
      <w:r>
        <w:t xml:space="preserve">Diretrizes para a prática e logística de operações de mergulho científico em projetos de pesquisa socio-ambientais</w:t>
      </w:r>
    </w:p>
    <w:bookmarkStart w:id="20" w:name="diretriz-geral"/>
    <w:p>
      <w:pPr>
        <w:pStyle w:val="Ttulo1"/>
      </w:pPr>
      <w:r>
        <w:t xml:space="preserve">DIRETRIZ GERAL</w:t>
      </w:r>
    </w:p>
    <w:p>
      <w:pPr>
        <w:numPr>
          <w:ilvl w:val="0"/>
          <w:numId w:val="1001"/>
        </w:numPr>
      </w:pPr>
      <w:r>
        <w:t xml:space="preserve">A segurança e a salvaguarda da vida deve estar sempre acima dos objetivos das operações de mergulho e pesquisa.</w:t>
      </w:r>
    </w:p>
    <w:p>
      <w:pPr>
        <w:numPr>
          <w:ilvl w:val="0"/>
          <w:numId w:val="1001"/>
        </w:numPr>
      </w:pPr>
      <w:r>
        <w:t xml:space="preserve">As atividades de mergulho científico só devem ser realizadas por um mínimo de dois mergulhadores devidamente credenciados, conforme a regra norteadora da atividade.</w:t>
      </w:r>
    </w:p>
    <w:p>
      <w:pPr>
        <w:numPr>
          <w:ilvl w:val="0"/>
          <w:numId w:val="1001"/>
        </w:numPr>
      </w:pPr>
      <w:r>
        <w:t xml:space="preserve">A equipe de trabalho deve se organizar em sistema de dupla, eventualmente trio.</w:t>
      </w:r>
    </w:p>
    <w:p>
      <w:pPr>
        <w:numPr>
          <w:ilvl w:val="0"/>
          <w:numId w:val="1001"/>
        </w:numPr>
      </w:pPr>
      <w:r>
        <w:t xml:space="preserve">A equipe de trabalho deve permanecer coesa durante o mergulho, buscando manter sempre o contato visual com os demais mergulhadores.</w:t>
      </w:r>
    </w:p>
    <w:p>
      <w:pPr>
        <w:numPr>
          <w:ilvl w:val="0"/>
          <w:numId w:val="1001"/>
        </w:numPr>
      </w:pPr>
      <w:r>
        <w:t xml:space="preserve">Pelos menos um dos membros das duplas deve ter consigo, obrigatoriamente, os seguintes equipamentos:</w:t>
      </w:r>
    </w:p>
    <w:p>
      <w:pPr>
        <w:numPr>
          <w:ilvl w:val="1"/>
          <w:numId w:val="1002"/>
        </w:numPr>
      </w:pPr>
      <w:r>
        <w:t xml:space="preserve">Deco Maker (ou</w:t>
      </w:r>
      <w:r>
        <w:t xml:space="preserve"> </w:t>
      </w:r>
      <w:r>
        <w:t xml:space="preserve">“Salsição”</w:t>
      </w:r>
      <w:r>
        <w:t xml:space="preserve">);</w:t>
      </w:r>
    </w:p>
    <w:p>
      <w:pPr>
        <w:numPr>
          <w:ilvl w:val="1"/>
          <w:numId w:val="1002"/>
        </w:numPr>
      </w:pPr>
      <w:r>
        <w:t xml:space="preserve">Carretilha 30m;</w:t>
      </w:r>
    </w:p>
    <w:p>
      <w:pPr>
        <w:numPr>
          <w:ilvl w:val="1"/>
          <w:numId w:val="1002"/>
        </w:numPr>
      </w:pPr>
      <w:r>
        <w:t xml:space="preserve">Dive Alert (ou apito de superfície);</w:t>
      </w:r>
    </w:p>
    <w:p>
      <w:pPr>
        <w:numPr>
          <w:ilvl w:val="1"/>
          <w:numId w:val="1002"/>
        </w:numPr>
      </w:pPr>
      <w:r>
        <w:t xml:space="preserve">Computador de mergulho.</w:t>
      </w:r>
    </w:p>
    <w:p>
      <w:pPr>
        <w:numPr>
          <w:ilvl w:val="1"/>
          <w:numId w:val="1002"/>
        </w:numPr>
      </w:pPr>
      <w:r>
        <w:t xml:space="preserve">Faca</w:t>
      </w:r>
    </w:p>
    <w:p>
      <w:pPr>
        <w:numPr>
          <w:ilvl w:val="0"/>
          <w:numId w:val="1000"/>
        </w:numPr>
      </w:pPr>
      <w:r>
        <w:t xml:space="preserve">Parágrafo único: É recomendavel o uso de bússola.</w:t>
      </w:r>
    </w:p>
    <w:p>
      <w:pPr>
        <w:numPr>
          <w:ilvl w:val="0"/>
          <w:numId w:val="1001"/>
        </w:numPr>
      </w:pPr>
      <w:r>
        <w:t xml:space="preserve">Em caso de desorientação e perda de contato com seu dupla, busque por alguns minutos, fazendo soar o</w:t>
      </w:r>
      <w:r>
        <w:t xml:space="preserve"> </w:t>
      </w:r>
      <w:r>
        <w:rPr>
          <w:b/>
          <w:bCs/>
        </w:rPr>
        <w:t xml:space="preserve">aviso de</w:t>
      </w:r>
      <w:r>
        <w:t xml:space="preserve"> </w:t>
      </w:r>
      <w:r>
        <w:rPr>
          <w:b/>
          <w:bCs/>
        </w:rPr>
        <w:t xml:space="preserve">emergência</w:t>
      </w:r>
      <w:r>
        <w:t xml:space="preserve"> </w:t>
      </w:r>
      <w:r>
        <w:t xml:space="preserve">do mergulho autônomo (batidas intermitentes no cilindro com auxílio de algum material duro).</w:t>
      </w:r>
    </w:p>
    <w:p>
      <w:pPr>
        <w:numPr>
          <w:ilvl w:val="0"/>
          <w:numId w:val="1001"/>
        </w:numPr>
      </w:pPr>
      <w:r>
        <w:t xml:space="preserve">Caso não encontre o mesmo após procedimento anterior, suba a superfície, seguindo os requisitos e limites de segurança estabelecidos pela sua profundidade e tempo de mergulho ou avisos do computador de mergulho.</w:t>
      </w:r>
    </w:p>
    <w:p>
      <w:pPr>
        <w:numPr>
          <w:ilvl w:val="0"/>
          <w:numId w:val="1001"/>
        </w:numPr>
      </w:pPr>
      <w:r>
        <w:t xml:space="preserve">Aguarde que seu dupla, após realizar os procedimentos aqui estabelecidos, resurja na superfície.</w:t>
      </w:r>
    </w:p>
    <w:p>
      <w:pPr>
        <w:numPr>
          <w:ilvl w:val="0"/>
          <w:numId w:val="1001"/>
        </w:numPr>
      </w:pPr>
      <w:r>
        <w:t xml:space="preserve">Caso o mesmo não aparece após uns 10 minutos, retorne ao barco de apoio e aguarde-o na embarcação.</w:t>
      </w:r>
    </w:p>
    <w:p>
      <w:pPr>
        <w:numPr>
          <w:ilvl w:val="0"/>
          <w:numId w:val="1001"/>
        </w:numPr>
      </w:pPr>
      <w:r>
        <w:t xml:space="preserve">Transcorrido o tempo de mergulho e retorno das demais duplas, aguarde mais alguns minutos. Verifique se o tempo de fundo planejado para o mergulho ainda</w:t>
      </w:r>
    </w:p>
    <w:p>
      <w:pPr>
        <w:numPr>
          <w:ilvl w:val="0"/>
          <w:numId w:val="1001"/>
        </w:numPr>
      </w:pPr>
      <w:r>
        <w:t xml:space="preserve">e dê início ao Plano de Emergência para Desaparecimento de Dupla.</w:t>
      </w:r>
    </w:p>
    <w:bookmarkEnd w:id="20"/>
    <w:bookmarkStart w:id="25" w:name="planos-de-emergência"/>
    <w:p>
      <w:pPr>
        <w:pStyle w:val="Ttulo1"/>
      </w:pPr>
      <w:r>
        <w:t xml:space="preserve">Planos de Emergência</w:t>
      </w:r>
    </w:p>
    <w:bookmarkStart w:id="21" w:name="acidente-ocular"/>
    <w:p>
      <w:pPr>
        <w:pStyle w:val="Ttulo2"/>
      </w:pPr>
      <w:r>
        <w:t xml:space="preserve">Acidente Ocular</w:t>
      </w:r>
    </w:p>
    <w:bookmarkEnd w:id="21"/>
    <w:bookmarkStart w:id="22" w:name="desaparecimento-de-dupla"/>
    <w:p>
      <w:pPr>
        <w:pStyle w:val="Ttulo2"/>
      </w:pPr>
      <w:r>
        <w:t xml:space="preserve">Desaparecimento de Dupla</w:t>
      </w:r>
    </w:p>
    <w:bookmarkEnd w:id="22"/>
    <w:bookmarkStart w:id="23" w:name="section"/>
    <w:p>
      <w:pPr>
        <w:pStyle w:val="Ttulo2"/>
      </w:pPr>
    </w:p>
    <w:p>
      <w:pPr>
        <w:pStyle w:val="FirstParagraph"/>
      </w:pPr>
      <w:r>
        <w:t xml:space="preserve">Briefing</w:t>
      </w:r>
    </w:p>
    <w:bookmarkEnd w:id="23"/>
    <w:bookmarkStart w:id="24" w:name="cargos"/>
    <w:p>
      <w:pPr>
        <w:pStyle w:val="Ttulo2"/>
      </w:pPr>
      <w:r>
        <w:t xml:space="preserve">Cargos</w:t>
      </w:r>
    </w:p>
    <w:p>
      <w:pPr>
        <w:pStyle w:val="FirstParagraph"/>
      </w:pPr>
      <w:r>
        <w:t xml:space="preserve">Atribuições dos Mergulhadores</w:t>
      </w:r>
    </w:p>
    <w:p>
      <w:pPr>
        <w:pStyle w:val="Corpodetexto"/>
      </w:pPr>
      <w:r>
        <w:t xml:space="preserve">Regras gerais de condutas nas operações de mergulho cientifico</w:t>
      </w:r>
    </w:p>
    <w:p>
      <w:pPr>
        <w:pStyle w:val="Corpodetexto"/>
      </w:pPr>
      <w:r>
        <w:t xml:space="preserve">Rol de Mergulhadores</w:t>
      </w:r>
    </w:p>
    <w:bookmarkEnd w:id="24"/>
    <w:bookmarkEnd w:id="25"/>
    <w:bookmarkStart w:id="27" w:name="anexos"/>
    <w:p>
      <w:pPr>
        <w:pStyle w:val="Ttulo1"/>
      </w:pPr>
      <w:r>
        <w:t xml:space="preserve">ANEXOS</w:t>
      </w:r>
    </w:p>
    <w:bookmarkStart w:id="26" w:name="check-list"/>
    <w:p>
      <w:pPr>
        <w:pStyle w:val="Ttulo2"/>
      </w:pPr>
      <w:r>
        <w:t xml:space="preserve">Check list</w:t>
      </w:r>
    </w:p>
    <w:bookmarkEnd w:id="26"/>
    <w:bookmarkEnd w:id="27"/>
    <w:sectPr w:rsidR="00F31698">
      <w:footerReference r:id="rId9" w:type="default"/>
      <w:footnotePr>
        <w:numRestart w:val="eachSect"/>
      </w:footnotePr>
      <w:pgSz w:h="15840" w:w="12240"/>
      <w:pgMar w:bottom="1417" w:footer="720" w:gutter="0" w:header="720" w:left="1701" w:right="1701" w:top="1417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1016" w14:textId="17BBCE09" w:rsidR="00E73758" w:rsidRPr="00E73758" w:rsidRDefault="00E73758">
    <w:pPr>
      <w:pStyle w:val="Rodap"/>
      <w:rPr>
        <w:lang w:val="pt-BR"/>
      </w:rPr>
    </w:pPr>
    <w:r w:rsidRPr="00E73758">
      <w:rPr>
        <w:lang w:val="pt-BR"/>
      </w:rPr>
      <w:t>Copyright © 2026. Todos os direitos reservados.</w:t>
    </w:r>
  </w:p>
  <w:p w14:paraId="77EA9EE1" w14:textId="77777777" w:rsidR="00E73758" w:rsidRPr="00E73758" w:rsidRDefault="00E73758">
    <w:pPr>
      <w:pStyle w:val="Rodap"/>
      <w:rPr>
        <w:lang w:val="pt-BR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166EF93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611">
    <w:nsid w:val="00A99611"/>
    <w:multiLevelType w:val="multilevel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left"/>
      <w:pPr>
        <w:ind w:left="2880" w:hanging="360"/>
      </w:pPr>
    </w:lvl>
    <w:lvl w:ilvl="4">
      <w:start w:val="1"/>
      <w:numFmt w:val="upperRoman"/>
      <w:lvlText w:val="%5."/>
      <w:lvlJc w:val="left"/>
      <w:pPr>
        <w:ind w:left="3600" w:hanging="360"/>
      </w:pPr>
    </w:lvl>
    <w:lvl w:ilvl="5">
      <w:start w:val="1"/>
      <w:numFmt w:val="upperRoman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left"/>
      <w:pPr>
        <w:ind w:left="5040" w:hanging="360"/>
      </w:pPr>
    </w:lvl>
    <w:lvl w:ilvl="7">
      <w:start w:val="1"/>
      <w:numFmt w:val="upperRoman"/>
      <w:lvlText w:val="%8."/>
      <w:lvlJc w:val="left"/>
      <w:pPr>
        <w:ind w:left="5760" w:hanging="360"/>
      </w:pPr>
    </w:lvl>
    <w:lvl w:ilvl="8">
      <w:start w:val="1"/>
      <w:numFmt w:val="upperRoman"/>
      <w:lvlText w:val="%9."/>
      <w:lvlJc w:val="left"/>
      <w:pPr>
        <w:ind w:left="6480" w:hanging="360"/>
      </w:pPr>
    </w:lvl>
  </w:abstractNum>
  <w:abstractNum w:abstractNumId="99511">
    <w:nsid w:val="00A99511"/>
    <w:multiLevelType w:val="multilevel"/>
    <w:lvl w:ilvl="0">
      <w:start w:val="1"/>
      <w:numFmt w:val="lowerRoman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lowerRoman"/>
      <w:lvlText w:val="%4."/>
      <w:lvlJc w:val="left"/>
      <w:pPr>
        <w:ind w:left="2880" w:hanging="360"/>
      </w:pPr>
    </w:lvl>
    <w:lvl w:ilvl="4">
      <w:start w:val="1"/>
      <w:numFmt w:val="lowerRoman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lowerRoman"/>
      <w:lvlText w:val="%7."/>
      <w:lvlJc w:val="left"/>
      <w:pPr>
        <w:ind w:left="5040" w:hanging="360"/>
      </w:pPr>
    </w:lvl>
    <w:lvl w:ilvl="7">
      <w:start w:val="1"/>
      <w:numFmt w:val="lowerRoman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16cid:durableId="1202135635" w:numId="1">
    <w:abstractNumId w:val="0"/>
  </w:num>
  <w:num w:numId="1000">
    <w:abstractNumId w:val="990"/>
  </w:num>
  <w:num w:numId="1001">
    <w:abstractNumId w:val="996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5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1698"/>
    <w:rsid w:val="000F3163"/>
    <w:rsid w:val="00D55C5D"/>
    <w:rsid w:val="00E73758"/>
    <w:rsid w:val="00F31698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</w:style>
  <w:style w:styleId="Ttulo1" w:type="paragraph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Ttulo2" w:type="paragraph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Ttulo3" w:type="paragraph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Ttulo4" w:type="paragraph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Ttulo5" w:type="paragraph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Ttulo6" w:type="paragraph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Ttulo7" w:type="paragraph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Ttulo8" w:type="paragraph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Ttulo9" w:type="paragraph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default="1" w:styleId="Fontepargpadro" w:type="character">
    <w:name w:val="Default Paragraph Font"/>
    <w:uiPriority w:val="1"/>
    <w:unhideWhenUsed/>
  </w:style>
  <w:style w:default="1" w:styleId="Tabela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Semlista" w:type="numbering">
    <w:name w:val="No List"/>
    <w:uiPriority w:val="99"/>
    <w:semiHidden/>
    <w:unhideWhenUsed/>
  </w:style>
  <w:style w:styleId="Corpodetexto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Corpodetexto"/>
    <w:next w:val="Corpodetexto"/>
    <w:qFormat/>
  </w:style>
  <w:style w:customStyle="1" w:styleId="Compact" w:type="paragraph">
    <w:name w:val="Compact"/>
    <w:basedOn w:val="Corpodetexto"/>
    <w:qFormat/>
    <w:pPr>
      <w:spacing w:after="36" w:before="36"/>
    </w:pPr>
  </w:style>
  <w:style w:styleId="Ttulo" w:type="paragraph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tuloChar" w:type="character">
    <w:name w:val="Título Char"/>
    <w:basedOn w:val="Fontepargpadro"/>
    <w:link w:val="Ttulo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tulo" w:type="paragraph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tuloChar" w:type="character">
    <w:name w:val="Subtítulo Char"/>
    <w:basedOn w:val="Fontepargpadro"/>
    <w:link w:val="Subttulo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tulo"/>
    <w:next w:val="Corpodetexto"/>
    <w:qFormat/>
    <w:pPr>
      <w:keepNext/>
      <w:keepLines/>
    </w:pPr>
    <w:rPr>
      <w:sz w:val="24"/>
      <w:szCs w:val="24"/>
    </w:rPr>
  </w:style>
  <w:style w:styleId="Data" w:type="paragraph">
    <w:name w:val="Date"/>
    <w:basedOn w:val="Ttulo"/>
    <w:next w:val="Corpodetexto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Corpodetexto"/>
    <w:qFormat/>
    <w:pPr>
      <w:keepNext/>
      <w:keepLines/>
      <w:spacing w:after="300" w:before="100"/>
    </w:pPr>
    <w:rPr>
      <w:sz w:val="20"/>
      <w:szCs w:val="20"/>
    </w:rPr>
  </w:style>
  <w:style w:styleId="Bibliografia" w:type="paragraph">
    <w:name w:val="Bibliography"/>
    <w:basedOn w:val="Normal"/>
    <w:qFormat/>
  </w:style>
  <w:style w:customStyle="1" w:styleId="Ttulo1Char" w:type="character">
    <w:name w:val="Título 1 Char"/>
    <w:basedOn w:val="Fontepargpadro"/>
    <w:link w:val="Ttulo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Ttulo2Char" w:type="character">
    <w:name w:val="Título 2 Char"/>
    <w:basedOn w:val="Fontepargpadro"/>
    <w:link w:val="Ttulo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Ttulo3Char" w:type="character">
    <w:name w:val="Título 3 Char"/>
    <w:basedOn w:val="Fontepargpadro"/>
    <w:link w:val="Ttulo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Ttulo4Char" w:type="character">
    <w:name w:val="Título 4 Char"/>
    <w:basedOn w:val="Fontepargpadro"/>
    <w:link w:val="Ttulo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Ttulo5Char" w:type="character">
    <w:name w:val="Título 5 Char"/>
    <w:basedOn w:val="Fontepargpadro"/>
    <w:link w:val="Ttulo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Ttulo6Char" w:type="character">
    <w:name w:val="Título 6 Char"/>
    <w:basedOn w:val="Fontepargpadro"/>
    <w:link w:val="Ttulo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Ttulo7Char" w:type="character">
    <w:name w:val="Título 7 Char"/>
    <w:basedOn w:val="Fontepargpadro"/>
    <w:link w:val="Ttulo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Ttulo8Char" w:type="character">
    <w:name w:val="Título 8 Char"/>
    <w:basedOn w:val="Fontepargpadro"/>
    <w:link w:val="Ttulo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Ttulo9Char" w:type="character">
    <w:name w:val="Título 9 Char"/>
    <w:basedOn w:val="Fontepargpadro"/>
    <w:link w:val="Ttulo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Textoembloco" w:type="paragraph">
    <w:name w:val="Block Text"/>
    <w:basedOn w:val="Corpodetexto"/>
    <w:next w:val="Corpodetexto"/>
    <w:uiPriority w:val="9"/>
    <w:unhideWhenUsed/>
    <w:qFormat/>
    <w:pPr>
      <w:spacing w:after="100" w:before="100"/>
      <w:ind w:left="480" w:right="480"/>
    </w:pPr>
  </w:style>
  <w:style w:styleId="Textodenotaderodap" w:type="paragraph">
    <w:name w:val="footnote text"/>
    <w:basedOn w:val="Normal"/>
    <w:uiPriority w:val="9"/>
    <w:unhideWhenUsed/>
    <w:qFormat/>
  </w:style>
  <w:style w:customStyle="1" w:styleId="FootnoteBlockText" w:type="paragraph">
    <w:name w:val="Footnote Block Text"/>
    <w:basedOn w:val="Textodenotaderodap"/>
    <w:next w:val="Textodenotaderodap"/>
    <w:uiPriority w:val="9"/>
    <w:unhideWhenUsed/>
    <w:qFormat/>
    <w:pPr>
      <w:spacing w:after="100" w:before="100"/>
      <w:ind w:left="480" w:right="480"/>
    </w:pPr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Legenda" w:type="paragraph">
    <w:name w:val="caption"/>
    <w:basedOn w:val="Normal"/>
    <w:link w:val="LegendaChar"/>
    <w:pPr>
      <w:spacing w:after="120"/>
    </w:pPr>
    <w:rPr>
      <w:i/>
    </w:rPr>
  </w:style>
  <w:style w:customStyle="1" w:styleId="TableCaption" w:type="paragraph">
    <w:name w:val="Table Caption"/>
    <w:basedOn w:val="Legenda"/>
    <w:pPr>
      <w:keepNext/>
    </w:pPr>
  </w:style>
  <w:style w:customStyle="1" w:styleId="ImageCaption" w:type="paragraph">
    <w:name w:val="Image Caption"/>
    <w:basedOn w:val="Legenda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LegendaChar" w:type="character">
    <w:name w:val="Legenda Char"/>
    <w:basedOn w:val="Fontepargpadro"/>
    <w:link w:val="Legenda"/>
  </w:style>
  <w:style w:customStyle="1" w:styleId="VerbatimChar" w:type="character">
    <w:name w:val="Verbatim Char"/>
    <w:basedOn w:val="LegendaChar"/>
    <w:rPr>
      <w:rFonts w:ascii="Consolas" w:hAnsi="Consolas"/>
      <w:sz w:val="22"/>
    </w:rPr>
  </w:style>
  <w:style w:customStyle="1" w:styleId="SectionNumber" w:type="character">
    <w:name w:val="Section Number"/>
    <w:basedOn w:val="LegendaChar"/>
  </w:style>
  <w:style w:styleId="Refdenotaderodap" w:type="character">
    <w:name w:val="footnote reference"/>
    <w:basedOn w:val="LegendaChar"/>
    <w:rPr>
      <w:vertAlign w:val="superscript"/>
    </w:rPr>
  </w:style>
  <w:style w:styleId="Hyperlink" w:type="character">
    <w:name w:val="Hyperlink"/>
    <w:basedOn w:val="LegendaChar"/>
    <w:rPr>
      <w:color w:themeColor="accent1" w:val="156082"/>
    </w:rPr>
  </w:style>
  <w:style w:styleId="CabealhodoSumrio" w:type="paragraph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styleId="Cabealho" w:type="paragraph">
    <w:name w:val="header"/>
    <w:basedOn w:val="Normal"/>
    <w:link w:val="CabealhoChar"/>
    <w:rsid w:val="00E73758"/>
    <w:pPr>
      <w:tabs>
        <w:tab w:pos="4252" w:val="center"/>
        <w:tab w:pos="8504" w:val="right"/>
      </w:tabs>
      <w:spacing w:after="0"/>
    </w:pPr>
  </w:style>
  <w:style w:customStyle="1" w:styleId="CabealhoChar" w:type="character">
    <w:name w:val="Cabeçalho Char"/>
    <w:basedOn w:val="Fontepargpadro"/>
    <w:link w:val="Cabealho"/>
    <w:rsid w:val="00E73758"/>
  </w:style>
  <w:style w:styleId="Rodap" w:type="paragraph">
    <w:name w:val="footer"/>
    <w:basedOn w:val="Normal"/>
    <w:link w:val="RodapChar"/>
    <w:uiPriority w:val="99"/>
    <w:rsid w:val="00E73758"/>
    <w:pPr>
      <w:tabs>
        <w:tab w:pos="4252" w:val="center"/>
        <w:tab w:pos="8504" w:val="right"/>
      </w:tabs>
      <w:spacing w:after="0"/>
    </w:pPr>
  </w:style>
  <w:style w:customStyle="1" w:styleId="RodapChar" w:type="character">
    <w:name w:val="Rodapé Char"/>
    <w:basedOn w:val="Fontepargpadro"/>
    <w:link w:val="Rodap"/>
    <w:uiPriority w:val="99"/>
    <w:rsid w:val="00E73758"/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357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Diretrizes para o Mergulho Científico</dc:title>
  <dc:creator>Supervisor de Pesquisa SC</dc:creator>
  <dc:description>Status: Documento em construção</dc:description>
  <cp:keywords/>
  <dcterms:created xsi:type="dcterms:W3CDTF">2026-07-21T13:36:26Z</dcterms:created>
  <dcterms:modified xsi:type="dcterms:W3CDTF">2026-07-21T13:36:26Z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Diretrizes para a prática e logística de operações de mergulho científico em projetos de pesquisa socio-ambientais</vt:lpwstr>
  </property>
  <property fmtid="{D5CDD505-2E9C-101B-9397-08002B2CF9AE}" pid="3" name="abstract-title">
    <vt:lpwstr>About</vt:lpwstr>
  </property>
  <property fmtid="{D5CDD505-2E9C-101B-9397-08002B2CF9AE}" pid="4" name="affiliations">
    <vt:lpwstr/>
  </property>
  <property fmtid="{D5CDD505-2E9C-101B-9397-08002B2CF9AE}" pid="5" name="authors">
    <vt:lpwstr/>
  </property>
  <property fmtid="{D5CDD505-2E9C-101B-9397-08002B2CF9AE}" pid="6" name="biblio-config">
    <vt:lpwstr>True</vt:lpwstr>
  </property>
  <property fmtid="{D5CDD505-2E9C-101B-9397-08002B2CF9AE}" pid="7" name="by-affiliation">
    <vt:lpwstr/>
  </property>
  <property fmtid="{D5CDD505-2E9C-101B-9397-08002B2CF9AE}" pid="8" name="by-author">
    <vt:lpwstr/>
  </property>
  <property fmtid="{D5CDD505-2E9C-101B-9397-08002B2CF9AE}" pid="9" name="copyright">
    <vt:lpwstr/>
  </property>
  <property fmtid="{D5CDD505-2E9C-101B-9397-08002B2CF9AE}" pid="10" name="date">
    <vt:lpwstr>2026-05-01</vt:lpwstr>
  </property>
  <property fmtid="{D5CDD505-2E9C-101B-9397-08002B2CF9AE}" pid="11" name="editor">
    <vt:lpwstr>visual</vt:lpwstr>
  </property>
  <property fmtid="{D5CDD505-2E9C-101B-9397-08002B2CF9AE}" pid="12" name="execute">
    <vt:lpwstr/>
  </property>
  <property fmtid="{D5CDD505-2E9C-101B-9397-08002B2CF9AE}" pid="13" name="fontfamily">
    <vt:lpwstr>baskervald</vt:lpwstr>
  </property>
  <property fmtid="{D5CDD505-2E9C-101B-9397-08002B2CF9AE}" pid="14" name="fontsize">
    <vt:lpwstr>12pt</vt:lpwstr>
  </property>
  <property fmtid="{D5CDD505-2E9C-101B-9397-08002B2CF9AE}" pid="15" name="geometry">
    <vt:lpwstr/>
  </property>
  <property fmtid="{D5CDD505-2E9C-101B-9397-08002B2CF9AE}" pid="16" name="header-includes">
    <vt:lpwstr/>
  </property>
  <property fmtid="{D5CDD505-2E9C-101B-9397-08002B2CF9AE}" pid="17" name="include-after">
    <vt:lpwstr/>
  </property>
  <property fmtid="{D5CDD505-2E9C-101B-9397-08002B2CF9AE}" pid="18" name="include-before">
    <vt:lpwstr/>
  </property>
  <property fmtid="{D5CDD505-2E9C-101B-9397-08002B2CF9AE}" pid="19" name="labels">
    <vt:lpwstr/>
  </property>
  <property fmtid="{D5CDD505-2E9C-101B-9397-08002B2CF9AE}" pid="20" name="license">
    <vt:lpwstr/>
  </property>
  <property fmtid="{D5CDD505-2E9C-101B-9397-08002B2CF9AE}" pid="21" name="page-layout">
    <vt:lpwstr>article</vt:lpwstr>
  </property>
  <property fmtid="{D5CDD505-2E9C-101B-9397-08002B2CF9AE}" pid="22" name="respect-user-color-scheme">
    <vt:lpwstr>True</vt:lpwstr>
  </property>
  <property fmtid="{D5CDD505-2E9C-101B-9397-08002B2CF9AE}" pid="23" name="subtitle">
    <vt:lpwstr>Diretrizes do Mergulho Científico no âmbito PMB-SC</vt:lpwstr>
  </property>
  <property fmtid="{D5CDD505-2E9C-101B-9397-08002B2CF9AE}" pid="24" name="toc-title">
    <vt:lpwstr>Table of contents</vt:lpwstr>
  </property>
</Properties>
</file>